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"Методические рекомендации по порядку взаимодействия участников системы долговременного ухода за гражданами пожилого возраста и инвалидами, нуждающимися в уходе, при выявлении и включении граждан, нуждающихся в уходе, в данную систему, а также предоставлении гражданам социальных услуг по уходу, включенных в социальный пакет долговременного ухода"</w:t>
              <w:br/>
              <w:t xml:space="preserve">(утв. Минтрудом России, Минздравом России 25.07.2024)</w:t>
              <w:br/>
              <w:t xml:space="preserve">(вместе с "Рекомендуемыми правилами формирования медицинских рекомендаций")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Утверждаю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right"/>
      </w:pPr>
      <w:r>
        <w:rPr>
          <w:sz w:val="24"/>
        </w:rPr>
        <w:t xml:space="preserve">25.07.2024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4"/>
        </w:rPr>
        <w:t xml:space="preserve">ПО ПОРЯДКУ ВЗАИМОДЕЙСТВИЯ УЧАСТНИКОВ СИСТЕМЫ ДОЛГОВРЕМЕННОГО</w:t>
      </w:r>
    </w:p>
    <w:p>
      <w:pPr>
        <w:pStyle w:val="2"/>
        <w:jc w:val="center"/>
      </w:pPr>
      <w:r>
        <w:rPr>
          <w:sz w:val="24"/>
        </w:rPr>
        <w:t xml:space="preserve">УХОДА ЗА ГРАЖДАНАМИ ПОЖИЛОГО ВОЗРАСТА И ИНВАЛИДАМИ,</w:t>
      </w:r>
    </w:p>
    <w:p>
      <w:pPr>
        <w:pStyle w:val="2"/>
        <w:jc w:val="center"/>
      </w:pPr>
      <w:r>
        <w:rPr>
          <w:sz w:val="24"/>
        </w:rPr>
        <w:t xml:space="preserve">НУЖДАЮЩИМИСЯ В УХОДЕ, ПРИ ВЫЯВЛЕНИИ И ВКЛЮЧЕНИИ</w:t>
      </w:r>
    </w:p>
    <w:p>
      <w:pPr>
        <w:pStyle w:val="2"/>
        <w:jc w:val="center"/>
      </w:pPr>
      <w:r>
        <w:rPr>
          <w:sz w:val="24"/>
        </w:rPr>
        <w:t xml:space="preserve">ГРАЖДАН, НУЖДАЮЩИХСЯ В УХОДЕ, В ДАННУЮ СИСТЕМУ,</w:t>
      </w:r>
    </w:p>
    <w:p>
      <w:pPr>
        <w:pStyle w:val="2"/>
        <w:jc w:val="center"/>
      </w:pPr>
      <w:r>
        <w:rPr>
          <w:sz w:val="24"/>
        </w:rPr>
        <w:t xml:space="preserve">А ТАКЖЕ ПРЕДОСТАВЛЕНИИ ГРАЖДАНАМ СОЦИАЛЬНЫХ</w:t>
      </w:r>
    </w:p>
    <w:p>
      <w:pPr>
        <w:pStyle w:val="2"/>
        <w:jc w:val="center"/>
      </w:pPr>
      <w:r>
        <w:rPr>
          <w:sz w:val="24"/>
        </w:rPr>
        <w:t xml:space="preserve">УСЛУГ ПО УХОДУ, ВКЛЮЧЕННЫХ В СОЦИАЛЬНЫЙ</w:t>
      </w:r>
    </w:p>
    <w:p>
      <w:pPr>
        <w:pStyle w:val="2"/>
        <w:jc w:val="center"/>
      </w:pPr>
      <w:r>
        <w:rPr>
          <w:sz w:val="24"/>
        </w:rPr>
        <w:t xml:space="preserve">ПАКЕТ ДОЛГОВРЕМЕННОГО УХОДА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Методические рекомендации по порядку взаимодействия участников системы долговременного ухода за гражданами пожилого возраста и инвалидами, нуждающимися в уходе, при выявлении и включении граждан, нуждающихся в уходе, в данную систему, а также предоставлении гражданам социальных услуг по уходу, включенных в социальный пакет долговременного ухода (далее соответственно - Методические рекомендации, система долговременного ухода) регулируют вопросы, связанные с установлением в субъекте Российской Федерации порядка взаимодействия участников системы долговременного ухода при выявлении медицинской организацией граждан старше 65 лет и инвалидов, нуждающихся в уходе (далее - гражданин, нуждающийся в уходе), их включении в систему долговременного ухода, а также предоставлении гражданам социальных услуг по уходу, включенных в социальный пакет долговременного ухода (далее соответственно - гражданин, включенный в систему долговременного ухода, социальные услуги по уходу).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Порядок взаимодействия участников системы долговременного ухода на территории субъекта Российской Федерации рекомендуется устанавливать нормативным правовым актом субъекта Российской Федерации, принятым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 декабря 2013 г. N 442-ФЗ "Об основах социального обслуживания граждан в Российской Федерации", Федеральным </w:t>
      </w:r>
      <w:hyperlink w:history="0" r:id="rId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ноября 2011 г. N 323-ФЗ "Об основах охраны здоровья граждан в Российской Федерации", Федеральным </w:t>
      </w:r>
      <w:hyperlink w:history="0" r:id="rId8" w:tooltip="Федеральный закон от 27.07.2006 N 152-ФЗ (ред. от 24.06.2025) &quot;О персональных данных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 июля 2006 г. N 152-ФЗ "О персональных данных", Методическими рекомендациями, </w:t>
      </w:r>
      <w:hyperlink w:history="0" r:id="rId9" w:tooltip="Приказ Минтруда России от 27.12.2023 N 895 &quot;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Минтруда России от 27 декабря 2023 г. N 895 "О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уходе" (далее - Типовая модель системы долговременного ухода).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Нормативный правовой акт субъекта Российской Федерации включает в себя приложение с перечнем организаций - участников межведомственного взаимодействия в рамках внедрения системы долговременного ухода вне зависимости от организационно-правовой формы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Выявление граждан, имеющих нарушение функционирования и ограничение жизнедеятельности, в целях включения их в систему долговременного ухода осуществляется при обращении граждан в медицинскую организацию, в которой они получают первичную медико-санитарную помощь (далее - Медицинская организация).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 проведении в Медицинской организации приема (осмотра) гражданина врачом-терапевтом, врачом терапевтом участковым, врачом общей практики (семейным врачом) или врачом-гериатром (далее - медицинский работник) при наличии признаков нуждаемости гражданина в постороннем уходе проводится оценка состояния по рекомендуемой </w:t>
      </w:r>
      <w:hyperlink w:history="0" w:anchor="P77" w:tooltip="РЕКОМЕНДУЕМАЯ ШКАЛА">
        <w:r>
          <w:rPr>
            <w:sz w:val="24"/>
            <w:color w:val="0000ff"/>
          </w:rPr>
          <w:t xml:space="preserve">шкале</w:t>
        </w:r>
      </w:hyperlink>
      <w:r>
        <w:rPr>
          <w:sz w:val="24"/>
        </w:rPr>
        <w:t xml:space="preserve"> реабилитационной маршрутизации для системы долговременного ухода, предусмотренной приложением N 1 к Методическим рекомендациям (далее - ШРМ СДУ).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 выявления по результатам проведения оценки </w:t>
      </w:r>
      <w:hyperlink w:history="0" w:anchor="P77" w:tooltip="РЕКОМЕНДУЕМАЯ ШКАЛА">
        <w:r>
          <w:rPr>
            <w:sz w:val="24"/>
            <w:color w:val="0000ff"/>
          </w:rPr>
          <w:t xml:space="preserve">ШРМ СДУ</w:t>
        </w:r>
      </w:hyperlink>
      <w:r>
        <w:rPr>
          <w:sz w:val="24"/>
        </w:rPr>
        <w:t xml:space="preserve"> граждан, состояние которых оценивается от 4 до 6 баллов по </w:t>
      </w:r>
      <w:hyperlink w:history="0" w:anchor="P77" w:tooltip="РЕКОМЕНДУЕМАЯ ШКАЛА">
        <w:r>
          <w:rPr>
            <w:sz w:val="24"/>
            <w:color w:val="0000ff"/>
          </w:rPr>
          <w:t xml:space="preserve">ШРМ СДУ</w:t>
        </w:r>
      </w:hyperlink>
      <w:r>
        <w:rPr>
          <w:sz w:val="24"/>
        </w:rPr>
        <w:t xml:space="preserve">, Медицинской организацией в срок не позднее 1 рабочего дня со дня получения от гражданина или его законного представителя письменного согласия на обработку (передачу) персональных данных и письменного согласия на разглашение сведений, составляющих врачебную тайну, осуществляется передача в Территориальный координационный центр для решения вопроса о включении гражданина в систему долговременного ухода следующих сведений: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персональные данные гражданина (ФИО, СНИЛС, адрес места жительства или места пребывания);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дата проведения оценки </w:t>
      </w:r>
      <w:hyperlink w:history="0" w:anchor="P77" w:tooltip="РЕКОМЕНДУЕМАЯ ШКАЛА">
        <w:r>
          <w:rPr>
            <w:sz w:val="24"/>
            <w:color w:val="0000ff"/>
          </w:rPr>
          <w:t xml:space="preserve">ШРМ СДУ</w:t>
        </w:r>
      </w:hyperlink>
      <w:r>
        <w:rPr>
          <w:sz w:val="24"/>
        </w:rPr>
        <w:t xml:space="preserve">, итоговый балл по </w:t>
      </w:r>
      <w:hyperlink w:history="0" w:anchor="P77" w:tooltip="РЕКОМЕНДУЕМАЯ ШКАЛА">
        <w:r>
          <w:rPr>
            <w:sz w:val="24"/>
            <w:color w:val="0000ff"/>
          </w:rPr>
          <w:t xml:space="preserve">ШРМ СДУ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полное наименование и адрес Медицинской организации, к которой прикреплен гражданин;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медицинские рекомендации.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Медицинские рекомендации гражданину включают рекомендации по: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приему лекарственных препаратов;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соблюдению питьевого режима;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соблюдению диеты;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соблюдению двигательного режима и физической активности;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профилактике пролежней и застойных явлений;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соблюдению иных медицинских рекомендаций, включая описание последовательности действий лица, осуществляющего уход, отклонений и иных факторов, влияющих на результаты ухода.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Рекомендуемые </w:t>
      </w:r>
      <w:hyperlink w:history="0" w:anchor="P138" w:tooltip="РЕКОМЕНДУЕМЫЕ ПРАВИЛА ФОРМИРОВАНИЯ МЕДИЦИНСКИХ РЕКОМЕНДАЦИЙ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формирования медицинских рекомендаций, состав информации, включаемой в медицинские рекомендации, определены в приложении N 2 к Методическим рекомендациям.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Коррекция медицинских рекомендаций гражданину, включенному в систему долговременного ухода, проводится медицинской организацией не реже 1 раза в год и в случаях изменения состояния здоровья гражданина при обращении в медицинскую организацию.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Территориальный координационный центр в течение 1 рабочего дня с даты подписания гражданином, нуждающимся в уходе, или его законным представителем, договора о предоставлении социальных услуг, индивидуальной программы предоставления социальных услуг (далее - ИППСУ) и дополнения к ИППСУ передает в Медицинскую организацию уведомление о включении гражданина в систему долговременного ухода. В случае отказа гражданина или его законного представителя от предоставления социальных услуг, отказа от социального обслуживания, Территориальный координационный центр в течение 1 рабочего дня со дня оформления отказа передает в Медицинскую организацию уведомление о невключении гражданина в систему долговременного ухода.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случае исключения гражданина из системы долговременного ухода Территориальный координационный центр в течение 1 рабочего дня информирует Медицинскую организацию об исключении гражданина из системы долговременного ухода.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При включении в систему долговременного ухода граждан, нуждающихся в уходе, на основании их обращений, поступивших в региональный или территориальный координационный центр, Территориальный координационный центр в срок не позднее 1 рабочего дня со дня заключения договора о предоставлении социальных услуг, ИППСУ, дополнения к ИППСУ и получения письменного согласия на обработку (передачу) персональных данных направляет по каналам электронного межведомственного взаимодействия в Медицинскую организацию запрос о получении медицинских рекомендаций гражданину, включенному в систему долговременного ухода.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Медицинская организация в течение 1 рабочего дня после формирования медицинских рекомендаций гражданину, включенному в систему долговременного ухода, и получения от гражданина или его законного представителя письменного согласия на обработку (передачу) персональных данных и письменного согласия на разглашение сведений, составляющих врачебную тайну, формирует и направляет в Территориальный координационный центр медицинские рекомендации.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 предоставлении социальных услуг по уходу осуществляется взаимодействие поставщика социальных услуг, помощника по уходу, который предоставляет гражданину, включенному в систему долговременного ухода, социальные услуги по уходу, и медицинского работника Медицинской организации, к которой прикреплен гражданин, включенный в систему долговременного ухода.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Территориальный координационный центр передает поставщику социальных услуг полученные от Медицинской организации медицинские рекомендации.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Помощник по уходу при предоставлении гражданину, включенному в систему долговременного ухода, социальных услуг по уходу осуществляет заполнение дневника ухода гражданина, нуждающегося в уходе, рекомендуемый образец которого утвержден </w:t>
      </w:r>
      <w:hyperlink w:history="0" r:id="rId10" w:tooltip="Приказ Минтруда России от 27.12.2023 N 895 &quot;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&quot; {КонсультантПлюс}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Рекомендуемому порядку предоставления социальных услуг по уходу, включаемых в социальный пакет долговременного ухода, в форме социального обслуживания, предусмотренному приложением N 8 к Типовой модели системы долговременного ухода, с учетом медицинских рекомендаций, в том числе листов наблюдения за состоянием гражданина, которые включают: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информацию о выполнении лекарственных назначений (</w:t>
      </w:r>
      <w:hyperlink w:history="0" r:id="rId11" w:tooltip="Приказ Минтруда России от 27.12.2023 N 895 &quot;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&quot; {КонсультантПлюс}">
        <w:r>
          <w:rPr>
            <w:sz w:val="24"/>
            <w:color w:val="0000ff"/>
          </w:rPr>
          <w:t xml:space="preserve">форма N 1</w:t>
        </w:r>
      </w:hyperlink>
      <w:r>
        <w:rPr>
          <w:sz w:val="24"/>
        </w:rPr>
        <w:t xml:space="preserve"> "Лист контроля приема лекарств", </w:t>
      </w:r>
      <w:hyperlink w:history="0" r:id="rId12" w:tooltip="Приказ Минтруда России от 27.12.2023 N 895 &quot;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&quot; {КонсультантПлюс}">
        <w:r>
          <w:rPr>
            <w:sz w:val="24"/>
            <w:color w:val="0000ff"/>
          </w:rPr>
          <w:t xml:space="preserve">форма N 13</w:t>
        </w:r>
      </w:hyperlink>
      <w:r>
        <w:rPr>
          <w:sz w:val="24"/>
        </w:rPr>
        <w:t xml:space="preserve"> "Лист контроля врачебных назначений");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информацию об изменении состояния кожных покровов (</w:t>
      </w:r>
      <w:hyperlink w:history="0" r:id="rId13" w:tooltip="Приказ Минтруда России от 27.12.2023 N 895 &quot;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&quot; {КонсультантПлюс}">
        <w:r>
          <w:rPr>
            <w:sz w:val="24"/>
            <w:color w:val="0000ff"/>
          </w:rPr>
          <w:t xml:space="preserve">форма N 10</w:t>
        </w:r>
      </w:hyperlink>
      <w:r>
        <w:rPr>
          <w:sz w:val="24"/>
        </w:rPr>
        <w:t xml:space="preserve"> "Лист контроля кожных покровов");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уровень систолического и диастолического артериального давления (</w:t>
      </w:r>
      <w:hyperlink w:history="0" r:id="rId14" w:tooltip="Приказ Минтруда России от 27.12.2023 N 895 &quot;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&quot; {КонсультантПлюс}">
        <w:r>
          <w:rPr>
            <w:sz w:val="24"/>
            <w:color w:val="0000ff"/>
          </w:rPr>
          <w:t xml:space="preserve">форма N 7</w:t>
        </w:r>
      </w:hyperlink>
      <w:r>
        <w:rPr>
          <w:sz w:val="24"/>
        </w:rPr>
        <w:t xml:space="preserve"> "Лист контроля артериального давления и пульса");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число сердечных сокращений (</w:t>
      </w:r>
      <w:hyperlink w:history="0" r:id="rId15" w:tooltip="Приказ Минтруда России от 27.12.2023 N 895 &quot;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&quot; {КонсультантПлюс}">
        <w:r>
          <w:rPr>
            <w:sz w:val="24"/>
            <w:color w:val="0000ff"/>
          </w:rPr>
          <w:t xml:space="preserve">форма N 7</w:t>
        </w:r>
      </w:hyperlink>
      <w:r>
        <w:rPr>
          <w:sz w:val="24"/>
        </w:rPr>
        <w:t xml:space="preserve"> "Лист контроля артериального давления и пульса");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SaO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(</w:t>
      </w:r>
      <w:hyperlink w:history="0" r:id="rId16" w:tooltip="Приказ Минтруда России от 27.12.2023 N 895 &quot;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&quot; {КонсультантПлюс}">
        <w:r>
          <w:rPr>
            <w:sz w:val="24"/>
            <w:color w:val="0000ff"/>
          </w:rPr>
          <w:t xml:space="preserve">форма N 9</w:t>
        </w:r>
      </w:hyperlink>
      <w:r>
        <w:rPr>
          <w:sz w:val="24"/>
        </w:rPr>
        <w:t xml:space="preserve"> "Лист контроля уровня сатурации");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температура тела (</w:t>
      </w:r>
      <w:hyperlink w:history="0" r:id="rId17" w:tooltip="Приказ Минтруда России от 27.12.2023 N 895 &quot;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&quot; {КонсультантПлюс}">
        <w:r>
          <w:rPr>
            <w:sz w:val="24"/>
            <w:color w:val="0000ff"/>
          </w:rPr>
          <w:t xml:space="preserve">форма N 6</w:t>
        </w:r>
      </w:hyperlink>
      <w:r>
        <w:rPr>
          <w:sz w:val="24"/>
        </w:rPr>
        <w:t xml:space="preserve"> "Лист контроля температуры тела");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уровень глюкозы (при необходимости), записанный со слов пациента или его родственников (опекунов) (</w:t>
      </w:r>
      <w:hyperlink w:history="0" r:id="rId18" w:tooltip="Приказ Минтруда России от 27.12.2023 N 895 &quot;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&quot; {КонсультантПлюс}">
        <w:r>
          <w:rPr>
            <w:sz w:val="24"/>
            <w:color w:val="0000ff"/>
          </w:rPr>
          <w:t xml:space="preserve">форма N 8</w:t>
        </w:r>
      </w:hyperlink>
      <w:r>
        <w:rPr>
          <w:sz w:val="24"/>
        </w:rPr>
        <w:t xml:space="preserve"> "Лист контроля уровня глюкозы крови").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Помощник по уходу взаимодействует с медицинским работником в случае изменения состояния здоровья гражданина, включенного в систему долговременного ухода, в том числе при ухудшении (резком ухудшении) состояния его здоровья.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Помощник по уходу информирует поставщика социальных услуг о каждом вызове медицинского работника, скорой медицинской помощи, а также об экстренной госпитализации гражданина, нуждающегося в уходе.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Территориальный координационный центр в целях организации профилактических медицинских осмотров, диспансеризации, диспансерного наблюдения граждан, включенных в систему долговременного ухода, ежемесячно осуществляет передачу сведений о гражданах (ФИО, СНИЛС, адрес места жительства или места пребывания) в Медицинские организации, в которых они получают первичную медико-санитарную помощь.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Медицинская организация с учетом сведений о гражданах, полученных в соответствии с </w:t>
      </w:r>
      <w:hyperlink w:history="0" w:anchor="P56" w:tooltip="17. Территориальный координационный центр в целях организации профилактических медицинских осмотров, диспансеризации, диспансерного наблюдения граждан, включенных в систему долговременного ухода, ежемесячно осуществляет передачу сведений о гражданах (ФИО, СНИЛС, адрес места жительства или места пребывания) в Медицинские организации, в которых они получают первичную медико-санитарную помощь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настоящих Методических рекомендаций, проводит корректировку планов проведения профилактических медицинских осмотров, диспансеризации, диспансерного наблюдения в целях увеличения охвата граждан, включенных в систему долговременного ухода.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Медицинская организация после выписки гражданина, включенного в систему долговременного ухода, из медицинской организации, оказывающей медицинскую помощь в стационарных условиях, организует проведение осмотра (консультации) необходимыми медицинскими работниками, оценки состояния его здоровья в соответствии с медицинскими рекомендациями, указанными в выписном эпикризе.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Методическим рекомендациям по порядку</w:t>
      </w:r>
    </w:p>
    <w:p>
      <w:pPr>
        <w:pStyle w:val="0"/>
        <w:jc w:val="right"/>
      </w:pPr>
      <w:r>
        <w:rPr>
          <w:sz w:val="24"/>
        </w:rPr>
        <w:t xml:space="preserve">взаимодействия участников системы</w:t>
      </w:r>
    </w:p>
    <w:p>
      <w:pPr>
        <w:pStyle w:val="0"/>
        <w:jc w:val="right"/>
      </w:pPr>
      <w:r>
        <w:rPr>
          <w:sz w:val="24"/>
        </w:rPr>
        <w:t xml:space="preserve">долговременного ухода за гражданами</w:t>
      </w:r>
    </w:p>
    <w:p>
      <w:pPr>
        <w:pStyle w:val="0"/>
        <w:jc w:val="right"/>
      </w:pPr>
      <w:r>
        <w:rPr>
          <w:sz w:val="24"/>
        </w:rPr>
        <w:t xml:space="preserve">пожилого возраста и инвалидами,</w:t>
      </w:r>
    </w:p>
    <w:p>
      <w:pPr>
        <w:pStyle w:val="0"/>
        <w:jc w:val="right"/>
      </w:pPr>
      <w:r>
        <w:rPr>
          <w:sz w:val="24"/>
        </w:rPr>
        <w:t xml:space="preserve">нуждающимися в уходе, при выявлении</w:t>
      </w:r>
    </w:p>
    <w:p>
      <w:pPr>
        <w:pStyle w:val="0"/>
        <w:jc w:val="right"/>
      </w:pPr>
      <w:r>
        <w:rPr>
          <w:sz w:val="24"/>
        </w:rPr>
        <w:t xml:space="preserve">и включении граждан, нуждающихся</w:t>
      </w:r>
    </w:p>
    <w:p>
      <w:pPr>
        <w:pStyle w:val="0"/>
        <w:jc w:val="right"/>
      </w:pPr>
      <w:r>
        <w:rPr>
          <w:sz w:val="24"/>
        </w:rPr>
        <w:t xml:space="preserve">в уходе, в данную систему,</w:t>
      </w:r>
    </w:p>
    <w:p>
      <w:pPr>
        <w:pStyle w:val="0"/>
        <w:jc w:val="right"/>
      </w:pPr>
      <w:r>
        <w:rPr>
          <w:sz w:val="24"/>
        </w:rPr>
        <w:t xml:space="preserve">а также предоставлении гражданам</w:t>
      </w:r>
    </w:p>
    <w:p>
      <w:pPr>
        <w:pStyle w:val="0"/>
        <w:jc w:val="right"/>
      </w:pPr>
      <w:r>
        <w:rPr>
          <w:sz w:val="24"/>
        </w:rPr>
        <w:t xml:space="preserve">социальных услуг по уходу,</w:t>
      </w:r>
    </w:p>
    <w:p>
      <w:pPr>
        <w:pStyle w:val="0"/>
        <w:jc w:val="right"/>
      </w:pPr>
      <w:r>
        <w:rPr>
          <w:sz w:val="24"/>
        </w:rPr>
        <w:t xml:space="preserve">включенных в социальный пакет</w:t>
      </w:r>
    </w:p>
    <w:p>
      <w:pPr>
        <w:pStyle w:val="0"/>
        <w:jc w:val="right"/>
      </w:pPr>
      <w:r>
        <w:rPr>
          <w:sz w:val="24"/>
        </w:rPr>
        <w:t xml:space="preserve">долговременного ухода</w:t>
      </w:r>
    </w:p>
    <w:p>
      <w:pPr>
        <w:pStyle w:val="0"/>
      </w:pPr>
      <w:r>
        <w:rPr>
          <w:sz w:val="24"/>
        </w:rPr>
      </w:r>
    </w:p>
    <w:bookmarkStart w:id="77" w:name="P77"/>
    <w:bookmarkEnd w:id="77"/>
    <w:p>
      <w:pPr>
        <w:pStyle w:val="2"/>
        <w:jc w:val="center"/>
      </w:pPr>
      <w:r>
        <w:rPr>
          <w:sz w:val="24"/>
        </w:rPr>
        <w:t xml:space="preserve">РЕКОМЕНДУЕМАЯ ШКАЛА</w:t>
      </w:r>
    </w:p>
    <w:p>
      <w:pPr>
        <w:pStyle w:val="2"/>
        <w:jc w:val="center"/>
      </w:pPr>
      <w:r>
        <w:rPr>
          <w:sz w:val="24"/>
        </w:rPr>
        <w:t xml:space="preserve">РЕАБИЛИТАЦИОННОЙ МАРШРУТИЗАЦИИ ДЛЯ СИСТЕМЫ ДОЛГОВРЕМЕННОГО</w:t>
      </w:r>
    </w:p>
    <w:p>
      <w:pPr>
        <w:pStyle w:val="2"/>
        <w:jc w:val="center"/>
      </w:pPr>
      <w:r>
        <w:rPr>
          <w:sz w:val="24"/>
        </w:rPr>
        <w:t xml:space="preserve">УХОДА (ШРМ СДУ)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7"/>
        <w:gridCol w:w="7653"/>
      </w:tblGrid>
      <w:tr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 ШРМ СДУ (баллы)</w:t>
            </w:r>
          </w:p>
        </w:tc>
        <w:tc>
          <w:tcPr>
            <w:tcW w:w="76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состояния функционирования и ограничения жизнедеятельности (функции и структуры организма, активность и участие пациента)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765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Отсутствие нарушений функционирования и ограничения жизнедеятельности. Функции, структуры организма сохранены полностью.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65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Отсутствие проявлений нарушений функционирования и ограничения жизнедеятельности при наличии симптомов заболевания.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а) может вернуться к прежнему образу жизни (работа, обучение, другое), поддерживать прежний уровень активности и социальной жизни;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б) тратит столько же времени на выполнение дел, как и до болезни;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в) может выполнять физическую нагрузку выше обычной без слабости, сердцебиения, одышки.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65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Легкое нарушение функционирования и ограничение жизнедеятельности.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а) не может выполнять виды деятельности (управление транспортным средством, чтение, письмо, танцы, работа и другие) с той степенью активности, которая была до болезни, но может справляться с ними без посторонней помощи;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б) обычная физическая нагрузка не вызывает выраженного утомления, слабости, одышки или сердцебиения. Стенокардия развивается при значительном, ускоренном или особо длительном напряжении (усилии). Тест шестиминутной ходьбы (ТШМ) &gt; 425 м. Тесты с физической нагрузкой (велоэргометрия или спироэргометрия) Вт, МЕ;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в) может самостоятельно себя обслуживать (сам одевается и раздевается, ходит в магазин, готовит еду, может совершать небольшие путешествия и переезды, самостоятельно передвигается);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г) не нуждается в наблюдении;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д) может проживать один дома от недели и более без посторонней помощи.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65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Умеренное нарушение функционирования и ограничение жизнедеятельности.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а) может передвигаться самостоятельно без посторонней помощи;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б) патологические симптомы в покое отсутствуют, обычная физическая нагрузка вызывает слабость, утомляемость, сердцебиение, одышку, стенокардия развивается при ходьбе на расстояние &gt; 500 м по ровной местности, при подъеме на &gt; 1 пролет обычных ступенек в среднем темпе в нормальных условиях. ТШМ = 301 - 425 м. Тесты с физической нагрузкой (велоэргометрия/спироэргометрия) = 75 - 100 Вт/4 - 6,9 МЕ;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в) самостоятельно одевается, раздевается, ходит в туалет, ест и выполняет другие виды повседневной активности;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г) нуждается в посторонней помощи при выполнении сложных видов активности: приготовлении пищи, уборке дома, похода в магазин за покупками;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д) может проживать один дома без посторонней помощи от 1 суток до 1 недели.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65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Выраженное нарушение функционирования и ограничение жизнедеятельности.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а) умеренное ограничение возможностей передвижения;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б) стенокардия возникает при ходьбе от 100 до 500 м по ровной местности, при подъеме на 1 пролет обычных ступенек в среднем темпе в нормальных условиях. ТШМ = 150 - 300 м, тесты с физической нагрузкой (велоэргометрия/спироэргометрия) = 25 - 50 Вт/2 - 3,9 МЕ;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в) нуждается в посторонней помощи при выполнении повседневных задач: одевание, раздевание, туалет, прием пищи и других;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г) в обычной жизни нуждается в ухаживающем;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д) может проживать один дома без посторонней помощи до 1 суток.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653" w:type="dxa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Грубое нарушение функционирования и ограничение жизнедеятельности.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а) больной комфортно чувствует себя только в состоянии покоя, минимальные физические нагрузки приводят к появлению слабости, сердцебиения, одышки, болям в сердце. ТШМ &lt; 150 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б) не может передвигаться самостоятельно без посторонней помощи;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в) нуждается в постоянном внимании, помощи при выполнении всех повседневных задач: одевание, раздевание, туалет, прием пищи и других;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г) круглосуточно нуждается в уходе;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д) не может быть оставлен один дома без посторонней помощи.</w:t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765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Нарушение функционирования и ограничение жизнедеятельности крайней степени тяжести.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Методическим рекомендациям по порядку</w:t>
      </w:r>
    </w:p>
    <w:p>
      <w:pPr>
        <w:pStyle w:val="0"/>
        <w:jc w:val="right"/>
      </w:pPr>
      <w:r>
        <w:rPr>
          <w:sz w:val="24"/>
        </w:rPr>
        <w:t xml:space="preserve">взаимодействия участников системы</w:t>
      </w:r>
    </w:p>
    <w:p>
      <w:pPr>
        <w:pStyle w:val="0"/>
        <w:jc w:val="right"/>
      </w:pPr>
      <w:r>
        <w:rPr>
          <w:sz w:val="24"/>
        </w:rPr>
        <w:t xml:space="preserve">долговременного ухода за гражданами</w:t>
      </w:r>
    </w:p>
    <w:p>
      <w:pPr>
        <w:pStyle w:val="0"/>
        <w:jc w:val="right"/>
      </w:pPr>
      <w:r>
        <w:rPr>
          <w:sz w:val="24"/>
        </w:rPr>
        <w:t xml:space="preserve">пожилого возраста и инвалидами,</w:t>
      </w:r>
    </w:p>
    <w:p>
      <w:pPr>
        <w:pStyle w:val="0"/>
        <w:jc w:val="right"/>
      </w:pPr>
      <w:r>
        <w:rPr>
          <w:sz w:val="24"/>
        </w:rPr>
        <w:t xml:space="preserve">нуждающимися в уходе, при выявлении</w:t>
      </w:r>
    </w:p>
    <w:p>
      <w:pPr>
        <w:pStyle w:val="0"/>
        <w:jc w:val="right"/>
      </w:pPr>
      <w:r>
        <w:rPr>
          <w:sz w:val="24"/>
        </w:rPr>
        <w:t xml:space="preserve">и включении граждан, нуждающихся</w:t>
      </w:r>
    </w:p>
    <w:p>
      <w:pPr>
        <w:pStyle w:val="0"/>
        <w:jc w:val="right"/>
      </w:pPr>
      <w:r>
        <w:rPr>
          <w:sz w:val="24"/>
        </w:rPr>
        <w:t xml:space="preserve">в уходе, в данную систему,</w:t>
      </w:r>
    </w:p>
    <w:p>
      <w:pPr>
        <w:pStyle w:val="0"/>
        <w:jc w:val="right"/>
      </w:pPr>
      <w:r>
        <w:rPr>
          <w:sz w:val="24"/>
        </w:rPr>
        <w:t xml:space="preserve">а также предоставлении гражданам</w:t>
      </w:r>
    </w:p>
    <w:p>
      <w:pPr>
        <w:pStyle w:val="0"/>
        <w:jc w:val="right"/>
      </w:pPr>
      <w:r>
        <w:rPr>
          <w:sz w:val="24"/>
        </w:rPr>
        <w:t xml:space="preserve">социальных услуг по уходу,</w:t>
      </w:r>
    </w:p>
    <w:p>
      <w:pPr>
        <w:pStyle w:val="0"/>
        <w:jc w:val="right"/>
      </w:pPr>
      <w:r>
        <w:rPr>
          <w:sz w:val="24"/>
        </w:rPr>
        <w:t xml:space="preserve">включенных в социальный пакет</w:t>
      </w:r>
    </w:p>
    <w:p>
      <w:pPr>
        <w:pStyle w:val="0"/>
        <w:jc w:val="right"/>
      </w:pPr>
      <w:r>
        <w:rPr>
          <w:sz w:val="24"/>
        </w:rPr>
        <w:t xml:space="preserve">долговременного ухода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38" w:name="P138"/>
    <w:bookmarkEnd w:id="138"/>
    <w:p>
      <w:pPr>
        <w:pStyle w:val="2"/>
        <w:jc w:val="center"/>
      </w:pPr>
      <w:r>
        <w:rPr>
          <w:sz w:val="24"/>
        </w:rPr>
        <w:t xml:space="preserve">РЕКОМЕНДУЕМЫЕ ПРАВИЛА ФОРМИРОВАНИЯ МЕДИЦИНСКИХ РЕКОМЕНДАЦИЙ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Медицинские рекомендации формируются медицинским работником Медицинской организации с учетом результатов проведенных ранее: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профилактического осмотра и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требований диспансерного наблюдения;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ранее проведенных медицинских осмотров и консультаций, в том числе врачами-специалистами;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результатов недавнего стационарного лечения гражданина, отраженных в выписном эпикризе, и включают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Паспортная часть.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Наименование медицинской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ФИО пациента, адрес пребывания, контактные данные, СНИЛС.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Рекомендации по соблюдению двигательного режима и физической активности: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Кратность и методика позиционирования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Кратность и объем физических упражнений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Кратность и объем двигательной активности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Рекомендации по профилактике пролежней и застойных явлений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Кратность и методика позиционирования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Рекомендуемые противопролежневые ТСР, СР.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Рекомендации по соблюдению диеты и питьевого режима: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Назначение диеты с учетом текущего клинического состояния гражданина, в соответствии с требованиями клинических рекомендаций по ведению взрослых пациентов с соматическими заболеваниями, </w:t>
      </w:r>
      <w:hyperlink w:history="0" r:id="rId19" w:tooltip="Приказ Минздрава России от 05.08.2003 N 330 (ред. от 19.02.2024) &quot;О мерах по совершенствованию лечебного питания в лечебно-профилактических учреждениях Российской Федерации&quot; (вместе с &quot;Положением об организации деятельности врача-диетолога&quot;, &quot;Положением об организации деятельности медицинской сестры диетической&quot;, &quot;Положением о Совете по лечебному питанию лечебно-профилактических учреждений&quot;, &quot;Инструкцией по организации лечебного питания в лечебно-профилактических учреждениях&quot;) (Зарегистрировано в Минюсте Ро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5 августа 2003 г. N 330 "О мерах по совершенствованию лечебного питания в лечебно-профилактических учреждениях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Рекомендации по приему лекарственных препаратов: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Наименование лекарственного препарата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Доза лекарственного препарата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Способ введения лекарственного препарата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 Кратность приема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 Особенности приема (например, после еды обильно запивая водой)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Рекомендации по контролю основных показателей жизнедеятельности: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Кратность оценки состояния кожных покровов (раз в день, раз в неделю, раз в месяц и т.д.);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Кратность термометрии;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Кратность измерения веса (раз в день, раз в неделю, раз в месяц);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6.4. Кратность измерения уровня артериального давления и определения частоты сердечных сокращений. Указать, что определение проводится полностью автоматическим тонометром в соответствии с требованиями </w:t>
      </w:r>
      <w:hyperlink w:history="0" r:id="rId20" w:tooltip="&quot;Клинические рекомендации &quot;Артериальная гипертензия у взрослых&quot; (одобрены Минздравом России) {КонсультантПлюс}">
        <w:r>
          <w:rPr>
            <w:sz w:val="24"/>
            <w:color w:val="0000ff"/>
          </w:rPr>
          <w:t xml:space="preserve">Приложений В</w:t>
        </w:r>
      </w:hyperlink>
      <w:r>
        <w:rPr>
          <w:sz w:val="24"/>
        </w:rPr>
        <w:t xml:space="preserve"> и </w:t>
      </w:r>
      <w:hyperlink w:history="0" r:id="rId21" w:tooltip="&quot;Клинические рекомендации &quot;Артериальная гипертензия у взрослых&quot; (одобрены Минздравом России) {КонсультантПлюс}">
        <w:r>
          <w:rPr>
            <w:sz w:val="24"/>
            <w:color w:val="0000ff"/>
          </w:rPr>
          <w:t xml:space="preserve">Г1</w:t>
        </w:r>
      </w:hyperlink>
      <w:r>
        <w:rPr>
          <w:sz w:val="24"/>
        </w:rPr>
        <w:t xml:space="preserve"> клинических рекомендаций "Артериальная гипертензия у взрослых", размещенных на рубрикаторе Минздрава России </w:t>
      </w:r>
      <w:hyperlink w:history="0" r:id="rId22">
        <w:r>
          <w:rPr>
            <w:sz w:val="24"/>
            <w:color w:val="0000ff"/>
          </w:rPr>
          <w:t xml:space="preserve">https://cr.minzdrav.gov.ru/recomend/62_2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6.5. Кратность оценки определения насыщения крови кислородом;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Рекомендации по соблюдению иных медицинских рекомендаций, включая описание последовательности действий лица, осуществляющего уход, отклонений и иных факторов, влияющих на результаты ухода: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7.1. Рекомендации по когнитивному тренингу;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 Рекомендации по социализации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7.3. Иные рекомендации.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"Методические рекомендации по порядку взаимодействия участников системы долговременного ухода за гражданами пожилого воз...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2639&amp;date=10.11.2025&amp;dst=100076&amp;field=134" TargetMode = "External"/>
	<Relationship Id="rId8" Type="http://schemas.openxmlformats.org/officeDocument/2006/relationships/hyperlink" Target="https://login.consultant.ru/link/?req=doc&amp;base=LAW&amp;n=499769&amp;date=10.11.2025" TargetMode = "External"/>
	<Relationship Id="rId9" Type="http://schemas.openxmlformats.org/officeDocument/2006/relationships/hyperlink" Target="https://login.consultant.ru/link/?req=doc&amp;base=LAW&amp;n=467722&amp;date=10.11.2025&amp;dst=100010&amp;field=134" TargetMode = "External"/>
	<Relationship Id="rId10" Type="http://schemas.openxmlformats.org/officeDocument/2006/relationships/hyperlink" Target="https://login.consultant.ru/link/?req=doc&amp;base=LAW&amp;n=467722&amp;date=10.11.2025&amp;dst=102701&amp;field=134" TargetMode = "External"/>
	<Relationship Id="rId11" Type="http://schemas.openxmlformats.org/officeDocument/2006/relationships/hyperlink" Target="https://login.consultant.ru/link/?req=doc&amp;base=LAW&amp;n=467722&amp;date=10.11.2025&amp;dst=102847&amp;field=134" TargetMode = "External"/>
	<Relationship Id="rId12" Type="http://schemas.openxmlformats.org/officeDocument/2006/relationships/hyperlink" Target="https://login.consultant.ru/link/?req=doc&amp;base=LAW&amp;n=467722&amp;date=10.11.2025&amp;dst=102925&amp;field=134" TargetMode = "External"/>
	<Relationship Id="rId13" Type="http://schemas.openxmlformats.org/officeDocument/2006/relationships/hyperlink" Target="https://login.consultant.ru/link/?req=doc&amp;base=LAW&amp;n=467722&amp;date=10.11.2025&amp;dst=102906&amp;field=134" TargetMode = "External"/>
	<Relationship Id="rId14" Type="http://schemas.openxmlformats.org/officeDocument/2006/relationships/hyperlink" Target="https://login.consultant.ru/link/?req=doc&amp;base=LAW&amp;n=467722&amp;date=10.11.2025&amp;dst=102890&amp;field=134" TargetMode = "External"/>
	<Relationship Id="rId15" Type="http://schemas.openxmlformats.org/officeDocument/2006/relationships/hyperlink" Target="https://login.consultant.ru/link/?req=doc&amp;base=LAW&amp;n=467722&amp;date=10.11.2025&amp;dst=102890&amp;field=134" TargetMode = "External"/>
	<Relationship Id="rId16" Type="http://schemas.openxmlformats.org/officeDocument/2006/relationships/hyperlink" Target="https://login.consultant.ru/link/?req=doc&amp;base=LAW&amp;n=467722&amp;date=10.11.2025&amp;dst=102901&amp;field=134" TargetMode = "External"/>
	<Relationship Id="rId17" Type="http://schemas.openxmlformats.org/officeDocument/2006/relationships/hyperlink" Target="https://login.consultant.ru/link/?req=doc&amp;base=LAW&amp;n=467722&amp;date=10.11.2025&amp;dst=102885&amp;field=134" TargetMode = "External"/>
	<Relationship Id="rId18" Type="http://schemas.openxmlformats.org/officeDocument/2006/relationships/hyperlink" Target="https://login.consultant.ru/link/?req=doc&amp;base=LAW&amp;n=467722&amp;date=10.11.2025&amp;dst=102896&amp;field=134" TargetMode = "External"/>
	<Relationship Id="rId19" Type="http://schemas.openxmlformats.org/officeDocument/2006/relationships/hyperlink" Target="https://login.consultant.ru/link/?req=doc&amp;base=LAW&amp;n=472820&amp;date=10.11.2025" TargetMode = "External"/>
	<Relationship Id="rId20" Type="http://schemas.openxmlformats.org/officeDocument/2006/relationships/hyperlink" Target="https://login.consultant.ru/link/?req=doc&amp;base=LAW&amp;n=487667&amp;date=10.11.2025&amp;dst=102521&amp;field=134" TargetMode = "External"/>
	<Relationship Id="rId21" Type="http://schemas.openxmlformats.org/officeDocument/2006/relationships/hyperlink" Target="https://login.consultant.ru/link/?req=doc&amp;base=LAW&amp;n=487667&amp;date=10.11.2025&amp;dst=102568&amp;field=134" TargetMode = "External"/>
	<Relationship Id="rId22" Type="http://schemas.openxmlformats.org/officeDocument/2006/relationships/hyperlink" Target="https://cr.minzdrav.gov.ru/recomend/62_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порядку взаимодействия участников системы долговременного ухода за гражданами пожилого возраста и инвалидами, нуждающимися в уходе, при выявлении и включении граждан, нуждающихся в уходе, в данную систему, а также предоставлении гражданам социальных услуг по уходу, включенных в социальный пакет долговременного ухода"
(утв. Минтрудом России, Минздравом России 25.07.2024)
(вместе с "Рекомендуемыми правилами формирования медицинских рекомендаций")</dc:title>
  <dcterms:created xsi:type="dcterms:W3CDTF">2025-11-10T04:23:25Z</dcterms:created>
</cp:coreProperties>
</file>